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EAB4" w14:textId="77777777" w:rsidR="000D7C9B" w:rsidRPr="007358E2" w:rsidRDefault="000D7C9B">
      <w:pPr>
        <w:spacing w:before="5"/>
        <w:rPr>
          <w:rFonts w:ascii="Times New Roman"/>
          <w:sz w:val="24"/>
          <w:szCs w:val="24"/>
        </w:rPr>
      </w:pPr>
    </w:p>
    <w:tbl>
      <w:tblPr>
        <w:tblW w:w="15452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1908"/>
        <w:gridCol w:w="3231"/>
        <w:gridCol w:w="3208"/>
        <w:gridCol w:w="6348"/>
      </w:tblGrid>
      <w:tr w:rsidR="000D7C9B" w:rsidRPr="007358E2" w14:paraId="54D9EAB7" w14:textId="77777777" w:rsidTr="002D3172">
        <w:trPr>
          <w:trHeight w:val="647"/>
        </w:trPr>
        <w:tc>
          <w:tcPr>
            <w:tcW w:w="15452" w:type="dxa"/>
            <w:gridSpan w:val="5"/>
            <w:shd w:val="clear" w:color="auto" w:fill="D9D9D9"/>
            <w:tcMar>
              <w:left w:w="57" w:type="dxa"/>
              <w:right w:w="57" w:type="dxa"/>
            </w:tcMar>
          </w:tcPr>
          <w:p w14:paraId="122DAA01" w14:textId="7AAE1B2D" w:rsidR="00220029" w:rsidRPr="007358E2" w:rsidRDefault="00E5021B" w:rsidP="00220029">
            <w:pPr>
              <w:pStyle w:val="TableParagraph"/>
              <w:spacing w:line="275" w:lineRule="exact"/>
              <w:ind w:left="2"/>
              <w:jc w:val="center"/>
              <w:rPr>
                <w:b/>
                <w:spacing w:val="-3"/>
                <w:sz w:val="24"/>
                <w:szCs w:val="24"/>
                <w:lang w:val="sr-Cyrl-RS"/>
              </w:rPr>
            </w:pPr>
            <w:r w:rsidRPr="007358E2">
              <w:rPr>
                <w:b/>
                <w:sz w:val="24"/>
                <w:szCs w:val="24"/>
              </w:rPr>
              <w:t>ОДГОВОРИ</w:t>
            </w:r>
            <w:r w:rsidRPr="007358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358E2">
              <w:rPr>
                <w:b/>
                <w:sz w:val="24"/>
                <w:szCs w:val="24"/>
              </w:rPr>
              <w:t>НА</w:t>
            </w:r>
            <w:r w:rsidRPr="007358E2">
              <w:rPr>
                <w:b/>
                <w:spacing w:val="-2"/>
                <w:sz w:val="24"/>
                <w:szCs w:val="24"/>
              </w:rPr>
              <w:t xml:space="preserve"> </w:t>
            </w:r>
            <w:r w:rsidR="00220029" w:rsidRPr="007358E2">
              <w:rPr>
                <w:b/>
                <w:spacing w:val="-2"/>
                <w:sz w:val="24"/>
                <w:szCs w:val="24"/>
                <w:lang w:val="sr-Cyrl-RS"/>
              </w:rPr>
              <w:t xml:space="preserve">НАЧЕЛНЕ </w:t>
            </w:r>
            <w:r w:rsidRPr="007358E2">
              <w:rPr>
                <w:b/>
                <w:sz w:val="24"/>
                <w:szCs w:val="24"/>
              </w:rPr>
              <w:t>КОМЕНТАРЕ</w:t>
            </w:r>
            <w:r w:rsidRPr="007358E2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14:paraId="54D9EAB6" w14:textId="36C3D776" w:rsidR="000D7C9B" w:rsidRPr="007358E2" w:rsidRDefault="00E5021B" w:rsidP="00220029">
            <w:pPr>
              <w:pStyle w:val="TableParagraph"/>
              <w:spacing w:line="275" w:lineRule="exact"/>
              <w:ind w:left="2"/>
              <w:jc w:val="center"/>
              <w:rPr>
                <w:sz w:val="24"/>
                <w:szCs w:val="24"/>
                <w:lang w:val="sr-Cyrl-RS"/>
              </w:rPr>
            </w:pPr>
            <w:r w:rsidRPr="007358E2">
              <w:rPr>
                <w:sz w:val="24"/>
                <w:szCs w:val="24"/>
              </w:rPr>
              <w:t xml:space="preserve">ЈАВНА РАСПРАВА- ПРЕДЛОГ УРЕДБЕ О </w:t>
            </w:r>
            <w:r w:rsidR="006F3E9D" w:rsidRPr="007358E2">
              <w:rPr>
                <w:sz w:val="24"/>
                <w:szCs w:val="24"/>
                <w:lang w:val="sr-Cyrl-RS"/>
              </w:rPr>
              <w:t>МАКСИМАЛНОМ ИЗНОСУ ВИСИНЕ НАКНАДЕ ЗА ЗАСНИВАЊЕ ПРАВА СЛУЖБЕНОСТИ</w:t>
            </w:r>
            <w:r w:rsidR="00F4553A" w:rsidRPr="007358E2">
              <w:rPr>
                <w:sz w:val="24"/>
                <w:szCs w:val="24"/>
                <w:lang w:val="sr-Cyrl-RS"/>
              </w:rPr>
              <w:t xml:space="preserve"> НА НЕПОКРЕТНОСТИ У ЈАВНОЈ СВОЈИНИ ПРИЛИКОМ ИЗГРАДЊЕ ЕЛЕКТРОНСКИХ КОМУНИКАЦИОНИХ МРЕЖА</w:t>
            </w:r>
          </w:p>
        </w:tc>
      </w:tr>
      <w:tr w:rsidR="000D7C9B" w:rsidRPr="007358E2" w14:paraId="54D9EAC2" w14:textId="77777777" w:rsidTr="002D3172">
        <w:trPr>
          <w:trHeight w:val="783"/>
        </w:trPr>
        <w:tc>
          <w:tcPr>
            <w:tcW w:w="757" w:type="dxa"/>
            <w:shd w:val="clear" w:color="auto" w:fill="D9D9D9"/>
            <w:tcMar>
              <w:left w:w="57" w:type="dxa"/>
              <w:right w:w="57" w:type="dxa"/>
            </w:tcMar>
          </w:tcPr>
          <w:p w14:paraId="54D9EAB8" w14:textId="77777777" w:rsidR="000D7C9B" w:rsidRPr="007358E2" w:rsidRDefault="000D7C9B">
            <w:pPr>
              <w:pStyle w:val="TableParagraph"/>
              <w:spacing w:before="90"/>
              <w:rPr>
                <w:sz w:val="24"/>
                <w:szCs w:val="24"/>
              </w:rPr>
            </w:pPr>
          </w:p>
          <w:p w14:paraId="54D9EAB9" w14:textId="77777777" w:rsidR="000D7C9B" w:rsidRPr="007358E2" w:rsidRDefault="00E5021B">
            <w:pPr>
              <w:pStyle w:val="TableParagraph"/>
              <w:ind w:left="14" w:right="10"/>
              <w:jc w:val="center"/>
              <w:rPr>
                <w:b/>
                <w:sz w:val="24"/>
                <w:szCs w:val="24"/>
              </w:rPr>
            </w:pPr>
            <w:r w:rsidRPr="007358E2">
              <w:rPr>
                <w:b/>
                <w:spacing w:val="-4"/>
                <w:sz w:val="24"/>
                <w:szCs w:val="24"/>
              </w:rPr>
              <w:t>БРОЈ</w:t>
            </w:r>
          </w:p>
        </w:tc>
        <w:tc>
          <w:tcPr>
            <w:tcW w:w="1908" w:type="dxa"/>
            <w:shd w:val="clear" w:color="auto" w:fill="D9D9D9"/>
            <w:tcMar>
              <w:left w:w="57" w:type="dxa"/>
              <w:right w:w="57" w:type="dxa"/>
            </w:tcMar>
          </w:tcPr>
          <w:p w14:paraId="54D9EABA" w14:textId="77777777" w:rsidR="000D7C9B" w:rsidRPr="007358E2" w:rsidRDefault="000D7C9B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54D9EABB" w14:textId="77777777" w:rsidR="000D7C9B" w:rsidRPr="007358E2" w:rsidRDefault="00E5021B">
            <w:pPr>
              <w:pStyle w:val="TableParagraph"/>
              <w:ind w:left="175"/>
              <w:rPr>
                <w:b/>
                <w:sz w:val="24"/>
                <w:szCs w:val="24"/>
              </w:rPr>
            </w:pPr>
            <w:r w:rsidRPr="007358E2">
              <w:rPr>
                <w:b/>
                <w:spacing w:val="-2"/>
                <w:sz w:val="24"/>
                <w:szCs w:val="24"/>
              </w:rPr>
              <w:t>ПРЕДЛАГАЧ</w:t>
            </w:r>
          </w:p>
        </w:tc>
        <w:tc>
          <w:tcPr>
            <w:tcW w:w="3231" w:type="dxa"/>
            <w:shd w:val="clear" w:color="auto" w:fill="D9D9D9"/>
            <w:tcMar>
              <w:left w:w="57" w:type="dxa"/>
              <w:right w:w="57" w:type="dxa"/>
            </w:tcMar>
          </w:tcPr>
          <w:p w14:paraId="54D9EABC" w14:textId="37DDE6EA" w:rsidR="000D7C9B" w:rsidRPr="007358E2" w:rsidRDefault="000D7C9B">
            <w:pPr>
              <w:pStyle w:val="TableParagraph"/>
              <w:spacing w:before="87"/>
              <w:ind w:left="12"/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54D9EABD" w14:textId="15A355A1" w:rsidR="000D7C9B" w:rsidRPr="007358E2" w:rsidRDefault="00BB0DC0">
            <w:pPr>
              <w:pStyle w:val="TableParagraph"/>
              <w:ind w:left="12" w:right="8"/>
              <w:jc w:val="center"/>
              <w:rPr>
                <w:b/>
                <w:sz w:val="24"/>
                <w:szCs w:val="24"/>
                <w:lang w:val="sr-Cyrl-RS"/>
              </w:rPr>
            </w:pPr>
            <w:r w:rsidRPr="007358E2">
              <w:rPr>
                <w:b/>
                <w:sz w:val="24"/>
                <w:szCs w:val="24"/>
                <w:lang w:val="sr-Cyrl-RS"/>
              </w:rPr>
              <w:t>НА</w:t>
            </w:r>
            <w:r w:rsidR="00777343" w:rsidRPr="007358E2">
              <w:rPr>
                <w:b/>
                <w:sz w:val="24"/>
                <w:szCs w:val="24"/>
                <w:lang w:val="sr-Cyrl-RS"/>
              </w:rPr>
              <w:t>ЧЕЛНЕ ПРИМЕДБЕ</w:t>
            </w:r>
          </w:p>
        </w:tc>
        <w:tc>
          <w:tcPr>
            <w:tcW w:w="3208" w:type="dxa"/>
            <w:shd w:val="clear" w:color="auto" w:fill="D9D9D9"/>
            <w:tcMar>
              <w:left w:w="57" w:type="dxa"/>
              <w:right w:w="57" w:type="dxa"/>
            </w:tcMar>
          </w:tcPr>
          <w:p w14:paraId="54D9EABE" w14:textId="77777777" w:rsidR="000D7C9B" w:rsidRPr="007358E2" w:rsidRDefault="000D7C9B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54D9EABF" w14:textId="77777777" w:rsidR="000D7C9B" w:rsidRPr="007358E2" w:rsidRDefault="00E502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358E2">
              <w:rPr>
                <w:b/>
                <w:spacing w:val="-2"/>
                <w:sz w:val="24"/>
                <w:szCs w:val="24"/>
              </w:rPr>
              <w:t>ОБРАЗЛОЖЕЊЕ</w:t>
            </w:r>
          </w:p>
        </w:tc>
        <w:tc>
          <w:tcPr>
            <w:tcW w:w="6348" w:type="dxa"/>
            <w:shd w:val="clear" w:color="auto" w:fill="D9D9D9"/>
            <w:tcMar>
              <w:left w:w="57" w:type="dxa"/>
              <w:right w:w="57" w:type="dxa"/>
            </w:tcMar>
          </w:tcPr>
          <w:p w14:paraId="54D9EAC0" w14:textId="77777777" w:rsidR="000D7C9B" w:rsidRPr="007358E2" w:rsidRDefault="000D7C9B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54D9EAC1" w14:textId="77777777" w:rsidR="000D7C9B" w:rsidRPr="007358E2" w:rsidRDefault="00E5021B" w:rsidP="00E409D4">
            <w:pPr>
              <w:pStyle w:val="TableParagraph"/>
              <w:ind w:left="590"/>
              <w:jc w:val="center"/>
              <w:rPr>
                <w:b/>
                <w:sz w:val="24"/>
                <w:szCs w:val="24"/>
              </w:rPr>
            </w:pPr>
            <w:r w:rsidRPr="007358E2">
              <w:rPr>
                <w:b/>
                <w:sz w:val="24"/>
                <w:szCs w:val="24"/>
              </w:rPr>
              <w:t>МИТ</w:t>
            </w:r>
            <w:r w:rsidRPr="007358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58E2">
              <w:rPr>
                <w:b/>
                <w:spacing w:val="-2"/>
                <w:sz w:val="24"/>
                <w:szCs w:val="24"/>
              </w:rPr>
              <w:t>МИШЉЕЊЕ</w:t>
            </w:r>
          </w:p>
        </w:tc>
      </w:tr>
      <w:tr w:rsidR="000D7C9B" w:rsidRPr="007358E2" w14:paraId="54D9EAE7" w14:textId="77777777" w:rsidTr="007358E2">
        <w:trPr>
          <w:trHeight w:val="2226"/>
        </w:trPr>
        <w:tc>
          <w:tcPr>
            <w:tcW w:w="757" w:type="dxa"/>
            <w:tcMar>
              <w:left w:w="57" w:type="dxa"/>
              <w:right w:w="57" w:type="dxa"/>
            </w:tcMar>
            <w:vAlign w:val="center"/>
          </w:tcPr>
          <w:p w14:paraId="54D9EAD0" w14:textId="715E2E7E" w:rsidR="000D7C9B" w:rsidRPr="007358E2" w:rsidRDefault="00E5021B" w:rsidP="00183F5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7358E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908" w:type="dxa"/>
            <w:tcMar>
              <w:left w:w="57" w:type="dxa"/>
              <w:right w:w="57" w:type="dxa"/>
            </w:tcMar>
            <w:vAlign w:val="center"/>
          </w:tcPr>
          <w:p w14:paraId="54D9EADE" w14:textId="4A148073" w:rsidR="000D7C9B" w:rsidRPr="007358E2" w:rsidRDefault="003745C4" w:rsidP="00183F5C">
            <w:pPr>
              <w:pStyle w:val="TableParagraph"/>
              <w:jc w:val="center"/>
              <w:rPr>
                <w:sz w:val="24"/>
                <w:szCs w:val="24"/>
                <w:lang w:val="sr-Cyrl-RS"/>
              </w:rPr>
            </w:pPr>
            <w:r w:rsidRPr="007358E2">
              <w:rPr>
                <w:spacing w:val="-2"/>
                <w:sz w:val="24"/>
                <w:szCs w:val="24"/>
                <w:lang w:val="sr-Cyrl-RS"/>
              </w:rPr>
              <w:t xml:space="preserve">А1 Србија </w:t>
            </w:r>
            <w:proofErr w:type="spellStart"/>
            <w:r w:rsidRPr="007358E2">
              <w:rPr>
                <w:spacing w:val="-2"/>
                <w:sz w:val="24"/>
                <w:szCs w:val="24"/>
                <w:lang w:val="sr-Cyrl-RS"/>
              </w:rPr>
              <w:t>д.о.о</w:t>
            </w:r>
            <w:proofErr w:type="spellEnd"/>
            <w:r w:rsidRPr="007358E2">
              <w:rPr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31" w:type="dxa"/>
            <w:tcMar>
              <w:left w:w="57" w:type="dxa"/>
              <w:right w:w="57" w:type="dxa"/>
            </w:tcMar>
          </w:tcPr>
          <w:p w14:paraId="54D9EAE1" w14:textId="3B1305B0" w:rsidR="000D7C9B" w:rsidRPr="007358E2" w:rsidRDefault="006D15FA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</w:t>
            </w:r>
            <w:r w:rsidR="00DA375B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плаћања</w:t>
            </w:r>
            <w:r w:rsidR="00DA375B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висине накнаде за зас</w:t>
            </w:r>
            <w:r w:rsidR="00DA375B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нивање права службеност на непокретности у јавној својини приликом изградње електронских комуникационих мрежа.</w:t>
            </w:r>
          </w:p>
        </w:tc>
        <w:tc>
          <w:tcPr>
            <w:tcW w:w="3208" w:type="dxa"/>
            <w:tcMar>
              <w:left w:w="57" w:type="dxa"/>
              <w:right w:w="57" w:type="dxa"/>
            </w:tcMar>
          </w:tcPr>
          <w:p w14:paraId="54D9EAE5" w14:textId="62ACFDCB" w:rsidR="000D7C9B" w:rsidRPr="007358E2" w:rsidRDefault="00C05D31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DA375B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ефинисање на</w:t>
            </w:r>
            <w:r w:rsidR="00411E93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чина плаћања, како је предвиђено Предлогом уредбе, представља </w:t>
            </w:r>
            <w:r w:rsidR="00E86B6E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превелико додатно оптерећење за операторе мреже</w:t>
            </w:r>
            <w:r w:rsidR="00AF2D4C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који су већ погођени бројним наметима.</w:t>
            </w:r>
          </w:p>
        </w:tc>
        <w:tc>
          <w:tcPr>
            <w:tcW w:w="6348" w:type="dxa"/>
            <w:tcMar>
              <w:left w:w="57" w:type="dxa"/>
              <w:right w:w="57" w:type="dxa"/>
            </w:tcMar>
          </w:tcPr>
          <w:p w14:paraId="54D9EAE6" w14:textId="527FF3D8" w:rsidR="00AF2D4C" w:rsidRPr="007358E2" w:rsidRDefault="00204F5A" w:rsidP="007358E2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Уредбом се прописује максималан износ накнаде </w:t>
            </w:r>
            <w:r w:rsidR="0054401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заснивање права службености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што не значи да ће она увек толико износити. Анализом преко 30 постојећих Одлука </w:t>
            </w:r>
            <w:r w:rsidR="00E409D4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локалних самоуправа </w:t>
            </w:r>
            <w:r w:rsidR="0054401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="0054401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аснивање права службености предложили смо услове пла</w:t>
            </w:r>
            <w:r w:rsidR="0054401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ања кој</w:t>
            </w:r>
            <w:r w:rsidR="0054401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представљ</w:t>
            </w:r>
            <w:r w:rsidR="0054401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 оптимално решење и за опе</w:t>
            </w:r>
            <w:r w:rsidR="0054401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аторе и за локалне самоуправе</w:t>
            </w:r>
            <w:r w:rsidR="0054401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узели смо у обзир и утицај на трошкове оператора али и на приходе јединица локалних самоуправа</w:t>
            </w:r>
            <w:r w:rsidR="00544015" w:rsidRPr="007358E2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2D3172" w:rsidRPr="007358E2" w14:paraId="224CE360" w14:textId="77777777" w:rsidTr="00097603">
        <w:trPr>
          <w:trHeight w:val="3072"/>
        </w:trPr>
        <w:tc>
          <w:tcPr>
            <w:tcW w:w="757" w:type="dxa"/>
            <w:tcMar>
              <w:left w:w="57" w:type="dxa"/>
              <w:right w:w="57" w:type="dxa"/>
            </w:tcMar>
            <w:vAlign w:val="center"/>
          </w:tcPr>
          <w:p w14:paraId="607A8829" w14:textId="67F93BF4" w:rsidR="002D3172" w:rsidRPr="007358E2" w:rsidRDefault="002D3172" w:rsidP="00183F5C">
            <w:pPr>
              <w:pStyle w:val="TableParagraph"/>
              <w:ind w:left="14"/>
              <w:jc w:val="center"/>
              <w:rPr>
                <w:spacing w:val="-5"/>
                <w:sz w:val="24"/>
                <w:szCs w:val="24"/>
                <w:lang w:val="sr-Cyrl-RS"/>
              </w:rPr>
            </w:pPr>
            <w:r w:rsidRPr="007358E2">
              <w:rPr>
                <w:spacing w:val="-5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08" w:type="dxa"/>
            <w:tcMar>
              <w:left w:w="57" w:type="dxa"/>
              <w:right w:w="57" w:type="dxa"/>
            </w:tcMar>
            <w:vAlign w:val="center"/>
          </w:tcPr>
          <w:p w14:paraId="57C678A4" w14:textId="1CF20CFC" w:rsidR="002D3172" w:rsidRPr="007358E2" w:rsidRDefault="002D3172" w:rsidP="00183F5C">
            <w:pPr>
              <w:pStyle w:val="TableParagraph"/>
              <w:jc w:val="center"/>
              <w:rPr>
                <w:spacing w:val="-2"/>
                <w:sz w:val="24"/>
                <w:szCs w:val="24"/>
                <w:lang w:val="sr-Cyrl-RS"/>
              </w:rPr>
            </w:pPr>
            <w:r w:rsidRPr="007358E2">
              <w:rPr>
                <w:spacing w:val="-2"/>
                <w:sz w:val="24"/>
                <w:szCs w:val="24"/>
                <w:lang w:val="sr-Cyrl-RS"/>
              </w:rPr>
              <w:t xml:space="preserve">А1 Србија </w:t>
            </w:r>
            <w:proofErr w:type="spellStart"/>
            <w:r w:rsidRPr="007358E2">
              <w:rPr>
                <w:spacing w:val="-2"/>
                <w:sz w:val="24"/>
                <w:szCs w:val="24"/>
                <w:lang w:val="sr-Cyrl-RS"/>
              </w:rPr>
              <w:t>д.о.о</w:t>
            </w:r>
            <w:proofErr w:type="spellEnd"/>
            <w:r w:rsidRPr="007358E2">
              <w:rPr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31" w:type="dxa"/>
            <w:tcMar>
              <w:left w:w="57" w:type="dxa"/>
              <w:right w:w="57" w:type="dxa"/>
            </w:tcMar>
          </w:tcPr>
          <w:p w14:paraId="740F0D0F" w14:textId="5F60EBE5" w:rsidR="002D3172" w:rsidRPr="007358E2" w:rsidRDefault="002D3172" w:rsidP="00097603">
            <w:pPr>
              <w:pStyle w:val="TableParagraph"/>
              <w:spacing w:line="275" w:lineRule="exact"/>
              <w:ind w:left="3"/>
              <w:jc w:val="both"/>
              <w:rPr>
                <w:b/>
                <w:i/>
                <w:sz w:val="24"/>
                <w:szCs w:val="24"/>
              </w:rPr>
            </w:pPr>
            <w:r w:rsidRPr="007358E2">
              <w:rPr>
                <w:sz w:val="24"/>
                <w:szCs w:val="24"/>
                <w:lang w:val="sr-Cyrl-RS"/>
              </w:rPr>
              <w:t xml:space="preserve">Као што назив члана 54. Закона о електронским комуникацијама дефинише – </w:t>
            </w:r>
            <w:r w:rsidRPr="007358E2">
              <w:rPr>
                <w:b/>
                <w:bCs/>
                <w:i/>
                <w:iCs/>
                <w:sz w:val="24"/>
                <w:szCs w:val="24"/>
                <w:lang w:val="sr-Cyrl-RS"/>
              </w:rPr>
              <w:t>Заснивање</w:t>
            </w:r>
            <w:r w:rsidRPr="007358E2">
              <w:rPr>
                <w:i/>
                <w:iCs/>
                <w:sz w:val="24"/>
                <w:szCs w:val="24"/>
                <w:lang w:val="sr-Cyrl-RS"/>
              </w:rPr>
              <w:t xml:space="preserve"> права службености на непокретности у јавној својини, </w:t>
            </w:r>
            <w:r w:rsidRPr="007358E2">
              <w:rPr>
                <w:sz w:val="24"/>
                <w:szCs w:val="24"/>
                <w:lang w:val="sr-Cyrl-RS"/>
              </w:rPr>
              <w:t>сматрамо да Предлогом уредбе треба да се дефинише само заснивање права службености, а не и увођење додатне годишње накнаде.</w:t>
            </w:r>
          </w:p>
        </w:tc>
        <w:tc>
          <w:tcPr>
            <w:tcW w:w="3208" w:type="dxa"/>
            <w:tcMar>
              <w:left w:w="57" w:type="dxa"/>
              <w:right w:w="57" w:type="dxa"/>
            </w:tcMar>
          </w:tcPr>
          <w:p w14:paraId="0074DE5B" w14:textId="66F01F49" w:rsidR="002D3172" w:rsidRPr="007358E2" w:rsidRDefault="002D3172" w:rsidP="00097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Наиме, кабловски водови, готово по правилу, или бар у највећем броју случајева, ни не утичу на промену намене земљишта, осим само у тренутку када се копа ров када и има смисла да се договори, односно, установи накнада, али једнократна, јер након довођења земљишта у претходно стање, власник може неометано располагати земљиштем као и раније. У случају да власник гради објекат на траси кабловских водова, готово по правилу се договара и реализује измештање трасе кабловских водова о трошку оператора мреже.</w:t>
            </w:r>
          </w:p>
        </w:tc>
        <w:tc>
          <w:tcPr>
            <w:tcW w:w="6348" w:type="dxa"/>
            <w:tcMar>
              <w:left w:w="57" w:type="dxa"/>
              <w:right w:w="57" w:type="dxa"/>
            </w:tcMar>
          </w:tcPr>
          <w:p w14:paraId="1E1D0239" w14:textId="79761702" w:rsidR="002D3172" w:rsidRPr="007358E2" w:rsidRDefault="002D3172" w:rsidP="00097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Члан 53 </w:t>
            </w:r>
            <w:proofErr w:type="spellStart"/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ЗЕКа</w:t>
            </w:r>
            <w:proofErr w:type="spellEnd"/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дефинише да се уговором, одређује висина накнаде: „Оператор, као и лице које искључиво за сопствене потребе гради или поставља електронску комуникациону мрежу и припадајућа средства, и власник непокретности, закључују уговор којим се ближе уређује начин вршења службености, као и постојање и висина накнаде за заснивање права службености</w:t>
            </w:r>
            <w:r w:rsidRPr="00735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.“</w:t>
            </w:r>
          </w:p>
          <w:p w14:paraId="59EB02F9" w14:textId="77777777" w:rsidR="002D3172" w:rsidRPr="007358E2" w:rsidRDefault="002D3172" w:rsidP="00097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E82FDBC" w14:textId="6DCB2772" w:rsidR="002D3172" w:rsidRPr="007358E2" w:rsidRDefault="002D3172" w:rsidP="00097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Члан 54 ст. 5 и 6. </w:t>
            </w:r>
            <w:proofErr w:type="spellStart"/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ЗЕКа</w:t>
            </w:r>
            <w:proofErr w:type="spellEnd"/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прописују да Уредба треба да дефинише максималне износе накнада, при чему наведени чланови ЗЕК-а не говоре о једнократној накнади већ само о једнобразном утврђивању накнаде.</w:t>
            </w:r>
          </w:p>
        </w:tc>
      </w:tr>
    </w:tbl>
    <w:p w14:paraId="54D9EAE9" w14:textId="77777777" w:rsidR="000D7C9B" w:rsidRPr="007358E2" w:rsidRDefault="000D7C9B">
      <w:pPr>
        <w:spacing w:before="5"/>
        <w:rPr>
          <w:rFonts w:ascii="Times New Roman"/>
          <w:sz w:val="24"/>
          <w:szCs w:val="24"/>
        </w:rPr>
      </w:pPr>
    </w:p>
    <w:p w14:paraId="54D9EB2A" w14:textId="77777777" w:rsidR="000D7C9B" w:rsidRPr="007358E2" w:rsidRDefault="000D7C9B">
      <w:pPr>
        <w:spacing w:before="5"/>
        <w:rPr>
          <w:rFonts w:ascii="Times New Roman"/>
          <w:sz w:val="24"/>
          <w:szCs w:val="24"/>
        </w:rPr>
      </w:pPr>
    </w:p>
    <w:tbl>
      <w:tblPr>
        <w:tblW w:w="1542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"/>
        <w:gridCol w:w="1985"/>
        <w:gridCol w:w="3260"/>
        <w:gridCol w:w="3118"/>
        <w:gridCol w:w="6379"/>
      </w:tblGrid>
      <w:tr w:rsidR="000D7C9B" w:rsidRPr="007358E2" w14:paraId="54D9EB4B" w14:textId="77777777" w:rsidTr="007358E2">
        <w:trPr>
          <w:trHeight w:val="2741"/>
        </w:trPr>
        <w:tc>
          <w:tcPr>
            <w:tcW w:w="678" w:type="dxa"/>
            <w:vAlign w:val="center"/>
          </w:tcPr>
          <w:p w14:paraId="54D9EB33" w14:textId="30C0FAD2" w:rsidR="000D7C9B" w:rsidRPr="007358E2" w:rsidRDefault="00E5021B" w:rsidP="00183F5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7358E2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vAlign w:val="center"/>
          </w:tcPr>
          <w:p w14:paraId="54D9EB3B" w14:textId="20CAF237" w:rsidR="000D7C9B" w:rsidRPr="007358E2" w:rsidRDefault="00C811CB" w:rsidP="00183F5C">
            <w:pPr>
              <w:pStyle w:val="TableParagraph"/>
              <w:jc w:val="center"/>
              <w:rPr>
                <w:sz w:val="24"/>
                <w:szCs w:val="24"/>
                <w:lang w:val="sr-Cyrl-RS"/>
              </w:rPr>
            </w:pPr>
            <w:r w:rsidRPr="007358E2">
              <w:rPr>
                <w:spacing w:val="-2"/>
                <w:sz w:val="24"/>
                <w:szCs w:val="24"/>
                <w:lang w:val="sr-Cyrl-RS"/>
              </w:rPr>
              <w:t xml:space="preserve">А1 Србија </w:t>
            </w:r>
            <w:proofErr w:type="spellStart"/>
            <w:r w:rsidRPr="007358E2">
              <w:rPr>
                <w:spacing w:val="-2"/>
                <w:sz w:val="24"/>
                <w:szCs w:val="24"/>
                <w:lang w:val="sr-Cyrl-RS"/>
              </w:rPr>
              <w:t>д.о.о</w:t>
            </w:r>
            <w:proofErr w:type="spellEnd"/>
            <w:r w:rsidRPr="007358E2">
              <w:rPr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0" w:type="dxa"/>
          </w:tcPr>
          <w:p w14:paraId="54D9EB42" w14:textId="7E1A5D3B" w:rsidR="000D7C9B" w:rsidRPr="007358E2" w:rsidRDefault="00D64DDF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Увођењ</w:t>
            </w:r>
            <w:r w:rsidR="00202A9F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годишње</w:t>
            </w:r>
            <w:r w:rsidR="00655882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накнаде која</w:t>
            </w:r>
            <w:r w:rsidR="00202A9F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="00202A9F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плаћа</w:t>
            </w:r>
            <w:r w:rsidR="00202A9F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поред</w:t>
            </w:r>
            <w:r w:rsidR="00394080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једнократне</w:t>
            </w:r>
            <w:r w:rsidR="00202A9F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94080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накнаде за заснивање</w:t>
            </w:r>
            <w:r w:rsidR="00202A9F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94080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права службености</w:t>
            </w:r>
            <w:r w:rsidR="00270323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предвиђен</w:t>
            </w:r>
            <w:r w:rsidR="00B0085D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270323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члан</w:t>
            </w:r>
            <w:r w:rsidR="00B0085D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</w:t>
            </w:r>
            <w:r w:rsidR="00270323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3. став 6. Предлога уредбе</w:t>
            </w:r>
            <w:r w:rsidR="006940FE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није у складу са интенцијом законодавца.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14:paraId="54D9EB44" w14:textId="7D2FFCCB" w:rsidR="000D7C9B" w:rsidRPr="007358E2" w:rsidRDefault="009E17AC" w:rsidP="007358E2">
            <w:pPr>
              <w:pStyle w:val="TableParagraph"/>
              <w:spacing w:line="257" w:lineRule="exact"/>
              <w:jc w:val="both"/>
              <w:rPr>
                <w:sz w:val="24"/>
                <w:szCs w:val="24"/>
                <w:lang w:val="sr-Cyrl-RS"/>
              </w:rPr>
            </w:pPr>
            <w:r w:rsidRPr="007358E2">
              <w:rPr>
                <w:sz w:val="24"/>
                <w:szCs w:val="24"/>
                <w:lang w:val="sr-Cyrl-RS"/>
              </w:rPr>
              <w:t>Увођење додатне накнаде није предвиђено Законом о електронским комуникацијама</w:t>
            </w:r>
            <w:r w:rsidR="0084720C" w:rsidRPr="007358E2">
              <w:rPr>
                <w:sz w:val="24"/>
                <w:szCs w:val="24"/>
                <w:lang w:val="sr-Cyrl-RS"/>
              </w:rPr>
              <w:t xml:space="preserve"> и представља непримерено велики терет за оператор</w:t>
            </w:r>
            <w:r w:rsidR="00897F8F" w:rsidRPr="007358E2">
              <w:rPr>
                <w:sz w:val="24"/>
                <w:szCs w:val="24"/>
                <w:lang w:val="sr-Cyrl-RS"/>
              </w:rPr>
              <w:t>е</w:t>
            </w:r>
            <w:r w:rsidR="0084720C" w:rsidRPr="007358E2">
              <w:rPr>
                <w:sz w:val="24"/>
                <w:szCs w:val="24"/>
                <w:lang w:val="sr-Cyrl-RS"/>
              </w:rPr>
              <w:t xml:space="preserve"> мреже</w:t>
            </w:r>
            <w:r w:rsidR="00214BE3" w:rsidRPr="007358E2">
              <w:rPr>
                <w:sz w:val="24"/>
                <w:szCs w:val="24"/>
                <w:lang w:val="sr-Cyrl-RS"/>
              </w:rPr>
              <w:t xml:space="preserve">, имајући посебно у виду дужине трасе </w:t>
            </w:r>
            <w:proofErr w:type="spellStart"/>
            <w:r w:rsidR="00214BE3" w:rsidRPr="007358E2">
              <w:rPr>
                <w:sz w:val="24"/>
                <w:szCs w:val="24"/>
                <w:lang w:val="sr-Cyrl-RS"/>
              </w:rPr>
              <w:t>привода</w:t>
            </w:r>
            <w:proofErr w:type="spellEnd"/>
            <w:r w:rsidR="00214BE3" w:rsidRPr="007358E2">
              <w:rPr>
                <w:sz w:val="24"/>
                <w:szCs w:val="24"/>
                <w:lang w:val="sr-Cyrl-RS"/>
              </w:rPr>
              <w:t xml:space="preserve">, кластера и мрежа </w:t>
            </w:r>
            <w:r w:rsidR="00897F8F" w:rsidRPr="007358E2">
              <w:rPr>
                <w:sz w:val="24"/>
                <w:szCs w:val="24"/>
                <w:lang w:val="sr-Cyrl-RS"/>
              </w:rPr>
              <w:t>које се мере километрима.</w:t>
            </w: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14:paraId="54D9EB4A" w14:textId="2044FE40" w:rsidR="00897F8F" w:rsidRPr="007358E2" w:rsidRDefault="00386D06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Годишња накнада је предложена у значајно умањеном износу него што је би</w:t>
            </w:r>
            <w:r w:rsidR="00EC6243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дефинисана до сада. Поред тога</w:t>
            </w:r>
            <w:r w:rsidR="00EC6243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овај начин се </w:t>
            </w:r>
            <w:r w:rsidR="000E700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установљава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разлика да ли је реч о привременом заснивању права службености (привремено техничко решење као алтернатива или неки догађај) или вишегодишњем заснивању права (полагањ</w:t>
            </w:r>
            <w:r w:rsidR="00514E78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4E78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птичког кабла)</w:t>
            </w:r>
            <w:r w:rsidR="004C1480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што је и била интенција предлагача Уредбе.</w:t>
            </w:r>
          </w:p>
        </w:tc>
      </w:tr>
      <w:tr w:rsidR="000D7C9B" w:rsidRPr="007358E2" w14:paraId="54D9EB70" w14:textId="77777777" w:rsidTr="004C7C2F">
        <w:trPr>
          <w:trHeight w:val="696"/>
        </w:trPr>
        <w:tc>
          <w:tcPr>
            <w:tcW w:w="678" w:type="dxa"/>
          </w:tcPr>
          <w:p w14:paraId="54D9EB4C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4D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4E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4F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50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51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52" w14:textId="77777777" w:rsidR="000D7C9B" w:rsidRPr="007358E2" w:rsidRDefault="000D7C9B">
            <w:pPr>
              <w:pStyle w:val="TableParagraph"/>
              <w:spacing w:before="138"/>
              <w:rPr>
                <w:sz w:val="24"/>
                <w:szCs w:val="24"/>
              </w:rPr>
            </w:pPr>
          </w:p>
          <w:p w14:paraId="54D9EB53" w14:textId="77777777" w:rsidR="000D7C9B" w:rsidRPr="007358E2" w:rsidRDefault="00E5021B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7358E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54D9EB54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55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56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57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58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59" w14:textId="77777777" w:rsidR="000D7C9B" w:rsidRPr="007358E2" w:rsidRDefault="000D7C9B">
            <w:pPr>
              <w:pStyle w:val="TableParagraph"/>
              <w:rPr>
                <w:sz w:val="24"/>
                <w:szCs w:val="24"/>
              </w:rPr>
            </w:pPr>
          </w:p>
          <w:p w14:paraId="54D9EB5A" w14:textId="77777777" w:rsidR="000D7C9B" w:rsidRPr="007358E2" w:rsidRDefault="000D7C9B">
            <w:pPr>
              <w:pStyle w:val="TableParagraph"/>
              <w:spacing w:before="138"/>
              <w:rPr>
                <w:sz w:val="24"/>
                <w:szCs w:val="24"/>
              </w:rPr>
            </w:pPr>
          </w:p>
          <w:p w14:paraId="54D9EB5B" w14:textId="1E2BCFA3" w:rsidR="000D7C9B" w:rsidRPr="007358E2" w:rsidRDefault="00C811CB" w:rsidP="00C811CB">
            <w:pPr>
              <w:pStyle w:val="TableParagraph"/>
              <w:rPr>
                <w:sz w:val="24"/>
                <w:szCs w:val="24"/>
              </w:rPr>
            </w:pPr>
            <w:r w:rsidRPr="007358E2">
              <w:rPr>
                <w:spacing w:val="-2"/>
                <w:sz w:val="24"/>
                <w:szCs w:val="24"/>
                <w:lang w:val="sr-Cyrl-RS"/>
              </w:rPr>
              <w:t xml:space="preserve"> А1 Србија </w:t>
            </w:r>
            <w:proofErr w:type="spellStart"/>
            <w:r w:rsidRPr="007358E2">
              <w:rPr>
                <w:spacing w:val="-2"/>
                <w:sz w:val="24"/>
                <w:szCs w:val="24"/>
                <w:lang w:val="sr-Cyrl-RS"/>
              </w:rPr>
              <w:t>д.о.о</w:t>
            </w:r>
            <w:proofErr w:type="spellEnd"/>
            <w:r w:rsidRPr="007358E2">
              <w:rPr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0" w:type="dxa"/>
          </w:tcPr>
          <w:p w14:paraId="54D9EB63" w14:textId="6EB16F9B" w:rsidR="00C811CB" w:rsidRPr="007358E2" w:rsidRDefault="00186A45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Предлог уредбе чланом 3. став 2. дефинише </w:t>
            </w:r>
            <w:r w:rsidR="0092669F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висину накнада према категоријама</w:t>
            </w:r>
            <w:r w:rsidR="00202A9F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2669F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намене земљишта</w:t>
            </w:r>
            <w:r w:rsidR="00347F0B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202A9F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47F0B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предлажемо </w:t>
            </w:r>
            <w:r w:rsidR="00202A9F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њихово умањење.</w:t>
            </w:r>
          </w:p>
        </w:tc>
        <w:tc>
          <w:tcPr>
            <w:tcW w:w="3118" w:type="dxa"/>
          </w:tcPr>
          <w:p w14:paraId="54D9EB65" w14:textId="2EAEFFC0" w:rsidR="000D7C9B" w:rsidRPr="007358E2" w:rsidRDefault="00A53D7B" w:rsidP="007358E2">
            <w:pPr>
              <w:pStyle w:val="TableParagraph"/>
              <w:ind w:right="90"/>
              <w:jc w:val="both"/>
              <w:rPr>
                <w:sz w:val="24"/>
                <w:szCs w:val="24"/>
                <w:lang w:val="sr-Cyrl-RS"/>
              </w:rPr>
            </w:pPr>
            <w:r w:rsidRPr="007358E2">
              <w:rPr>
                <w:sz w:val="24"/>
                <w:szCs w:val="24"/>
                <w:lang w:val="sr-Cyrl-RS"/>
              </w:rPr>
              <w:t xml:space="preserve">Додатном анализом смо утврдили да су значајно веће </w:t>
            </w:r>
            <w:r w:rsidR="00185F9F" w:rsidRPr="007358E2">
              <w:rPr>
                <w:sz w:val="24"/>
                <w:szCs w:val="24"/>
                <w:lang w:val="sr-Cyrl-RS"/>
              </w:rPr>
              <w:t>од постојећих накнада које плаћамо.</w:t>
            </w: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14:paraId="54D9EB6F" w14:textId="7FA48ED4" w:rsidR="00185F9F" w:rsidRPr="007358E2" w:rsidRDefault="009F4F55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Као што је већ наведено у одговору на коментар бр 1, </w:t>
            </w:r>
            <w:r w:rsidR="004C1480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Предлогом</w:t>
            </w:r>
            <w:r w:rsidR="00EC6243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Уредбе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 прописује максималан износ накнаде за заснивање права службености, што не значи да ће она увек толико износити. Анализирали смо преко 30 постојећих Одлука локалних самоуправа за заснивање права службености </w:t>
            </w:r>
            <w:r w:rsidRPr="00735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различите операторе</w:t>
            </w:r>
            <w:r w:rsidR="00802D2C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према многим Одлукама износ</w:t>
            </w:r>
            <w:r w:rsidR="00EC6243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02D2C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су били многоструко већи од овде предложених, те смо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предложили услове плаћања који представљају оптимално решење и за операторе и за локалне самоуправе, односно узели смо у обзир и утицај на трошкове оператора али и на приходе јединица локалних самоуправа</w:t>
            </w:r>
            <w:r w:rsidR="00802D2C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0D7C9B" w:rsidRPr="007358E2" w14:paraId="54D9EB7C" w14:textId="77777777" w:rsidTr="004C7C2F">
        <w:trPr>
          <w:trHeight w:val="1304"/>
        </w:trPr>
        <w:tc>
          <w:tcPr>
            <w:tcW w:w="678" w:type="dxa"/>
          </w:tcPr>
          <w:p w14:paraId="54D9EB71" w14:textId="77777777" w:rsidR="000D7C9B" w:rsidRPr="007358E2" w:rsidRDefault="000D7C9B">
            <w:pPr>
              <w:pStyle w:val="TableParagraph"/>
              <w:spacing w:before="256"/>
              <w:rPr>
                <w:sz w:val="24"/>
                <w:szCs w:val="24"/>
              </w:rPr>
            </w:pPr>
          </w:p>
          <w:p w14:paraId="1E48F579" w14:textId="77777777" w:rsidR="00304066" w:rsidRPr="007358E2" w:rsidRDefault="00304066" w:rsidP="002D3172">
            <w:pPr>
              <w:pStyle w:val="TableParagraph"/>
              <w:rPr>
                <w:spacing w:val="-5"/>
                <w:sz w:val="24"/>
                <w:szCs w:val="24"/>
                <w:lang w:val="sr-Cyrl-RS"/>
              </w:rPr>
            </w:pPr>
          </w:p>
          <w:p w14:paraId="6808E071" w14:textId="77777777" w:rsidR="00304066" w:rsidRPr="007358E2" w:rsidRDefault="00304066">
            <w:pPr>
              <w:pStyle w:val="TableParagraph"/>
              <w:ind w:left="76"/>
              <w:jc w:val="center"/>
              <w:rPr>
                <w:spacing w:val="-5"/>
                <w:sz w:val="24"/>
                <w:szCs w:val="24"/>
                <w:lang w:val="sr-Cyrl-RS"/>
              </w:rPr>
            </w:pPr>
          </w:p>
          <w:p w14:paraId="54D9EB72" w14:textId="2714E7AF" w:rsidR="000D7C9B" w:rsidRPr="007358E2" w:rsidRDefault="00E5021B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7358E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54D9EB73" w14:textId="77777777" w:rsidR="000D7C9B" w:rsidRPr="007358E2" w:rsidRDefault="000D7C9B">
            <w:pPr>
              <w:pStyle w:val="TableParagraph"/>
              <w:spacing w:before="253"/>
              <w:rPr>
                <w:sz w:val="24"/>
                <w:szCs w:val="24"/>
              </w:rPr>
            </w:pPr>
          </w:p>
          <w:p w14:paraId="315A8AD6" w14:textId="77777777" w:rsidR="00304066" w:rsidRPr="007358E2" w:rsidRDefault="00056D04" w:rsidP="00056D04">
            <w:pPr>
              <w:pStyle w:val="TableParagraph"/>
              <w:spacing w:before="1"/>
              <w:rPr>
                <w:spacing w:val="-2"/>
                <w:sz w:val="24"/>
                <w:szCs w:val="24"/>
                <w:lang w:val="sr-Cyrl-RS"/>
              </w:rPr>
            </w:pPr>
            <w:r w:rsidRPr="007358E2">
              <w:rPr>
                <w:spacing w:val="-2"/>
                <w:sz w:val="24"/>
                <w:szCs w:val="24"/>
                <w:lang w:val="sr-Cyrl-RS"/>
              </w:rPr>
              <w:t xml:space="preserve"> </w:t>
            </w:r>
          </w:p>
          <w:p w14:paraId="7807115B" w14:textId="77777777" w:rsidR="00304066" w:rsidRPr="007358E2" w:rsidRDefault="00304066" w:rsidP="00056D04">
            <w:pPr>
              <w:pStyle w:val="TableParagraph"/>
              <w:spacing w:before="1"/>
              <w:rPr>
                <w:spacing w:val="-2"/>
                <w:sz w:val="24"/>
                <w:szCs w:val="24"/>
                <w:lang w:val="sr-Cyrl-RS"/>
              </w:rPr>
            </w:pPr>
          </w:p>
          <w:p w14:paraId="54D9EB74" w14:textId="28EBC591" w:rsidR="000D7C9B" w:rsidRPr="007358E2" w:rsidRDefault="00056D04" w:rsidP="00056D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358E2">
              <w:rPr>
                <w:spacing w:val="-2"/>
                <w:sz w:val="24"/>
                <w:szCs w:val="24"/>
                <w:lang w:val="sr-Cyrl-RS"/>
              </w:rPr>
              <w:t xml:space="preserve">А1 Србија </w:t>
            </w:r>
            <w:proofErr w:type="spellStart"/>
            <w:r w:rsidRPr="007358E2">
              <w:rPr>
                <w:spacing w:val="-2"/>
                <w:sz w:val="24"/>
                <w:szCs w:val="24"/>
                <w:lang w:val="sr-Cyrl-RS"/>
              </w:rPr>
              <w:t>д.о.о</w:t>
            </w:r>
            <w:proofErr w:type="spellEnd"/>
            <w:r w:rsidRPr="007358E2">
              <w:rPr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60" w:type="dxa"/>
          </w:tcPr>
          <w:p w14:paraId="54D9EB77" w14:textId="549E08B7" w:rsidR="006216D6" w:rsidRPr="007358E2" w:rsidRDefault="002533E5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Замолили бисмо за појашњење</w:t>
            </w:r>
            <w:r w:rsidR="00BC56EC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на који начин да посматрамо када се користи већ</w:t>
            </w:r>
            <w:r w:rsidR="00A87EB9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C56EC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постојећа инфраструктура</w:t>
            </w:r>
            <w:r w:rsidR="00625B92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(односно без копања), у случају на пример </w:t>
            </w:r>
            <w:r w:rsidR="00A87EB9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полагања кабла у постојећој линијској инфраструктури.</w:t>
            </w:r>
          </w:p>
        </w:tc>
        <w:tc>
          <w:tcPr>
            <w:tcW w:w="3118" w:type="dxa"/>
          </w:tcPr>
          <w:p w14:paraId="54D9EB78" w14:textId="7B362A95" w:rsidR="00683BD7" w:rsidRPr="007358E2" w:rsidRDefault="00683BD7" w:rsidP="007358E2">
            <w:pPr>
              <w:pStyle w:val="TableParagraph"/>
              <w:spacing w:before="1"/>
              <w:jc w:val="both"/>
              <w:rPr>
                <w:sz w:val="24"/>
                <w:szCs w:val="24"/>
                <w:lang w:val="sr-Cyrl-RS"/>
              </w:rPr>
            </w:pPr>
            <w:r w:rsidRPr="007358E2">
              <w:rPr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14:paraId="1E65C788" w14:textId="4535C115" w:rsidR="00CE5E02" w:rsidRPr="007358E2" w:rsidRDefault="00CE5E02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случају када оператор користи већ постојећу инфраструктуру, не плаћа се накнада за </w:t>
            </w:r>
            <w:r w:rsidR="00F0096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заснивање права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службености </w:t>
            </w:r>
            <w:r w:rsidR="00F0096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уколико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</w:t>
            </w:r>
            <w:r w:rsidR="00F0096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оператор већ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платио накнаду у складу са </w:t>
            </w:r>
            <w:r w:rsidR="00F00965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закљученим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уговором са локалном самоуправом</w:t>
            </w:r>
            <w:r w:rsidR="00352689" w:rsidRPr="007358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209D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већ се плаћа </w:t>
            </w:r>
            <w:r w:rsidR="00B71E5D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годишња накнада</w:t>
            </w:r>
            <w:r w:rsidR="0090209D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сваку наредну годину</w:t>
            </w:r>
            <w:r w:rsidR="00B71E5D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складу са Предлогом Уредбе</w:t>
            </w:r>
            <w:r w:rsidR="0090209D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A6623C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4D9EB7B" w14:textId="4D20B61C" w:rsidR="002E1BDE" w:rsidRPr="007358E2" w:rsidRDefault="002E1BDE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66" w:rsidRPr="007358E2" w14:paraId="117A44BD" w14:textId="77777777" w:rsidTr="004C7C2F">
        <w:trPr>
          <w:trHeight w:val="1304"/>
        </w:trPr>
        <w:tc>
          <w:tcPr>
            <w:tcW w:w="678" w:type="dxa"/>
          </w:tcPr>
          <w:p w14:paraId="62DD58EB" w14:textId="77777777" w:rsidR="00304066" w:rsidRPr="007358E2" w:rsidRDefault="00304066" w:rsidP="00304066">
            <w:pPr>
              <w:pStyle w:val="TableParagraph"/>
              <w:spacing w:before="256"/>
              <w:jc w:val="center"/>
              <w:rPr>
                <w:sz w:val="24"/>
                <w:szCs w:val="24"/>
                <w:lang w:val="sr-Cyrl-RS"/>
              </w:rPr>
            </w:pPr>
          </w:p>
          <w:p w14:paraId="15221A17" w14:textId="77777777" w:rsidR="002D3172" w:rsidRPr="007358E2" w:rsidRDefault="002D3172" w:rsidP="00304066">
            <w:pPr>
              <w:pStyle w:val="TableParagraph"/>
              <w:spacing w:before="256"/>
              <w:jc w:val="center"/>
              <w:rPr>
                <w:sz w:val="24"/>
                <w:szCs w:val="24"/>
                <w:lang w:val="sr-Cyrl-RS"/>
              </w:rPr>
            </w:pPr>
          </w:p>
          <w:p w14:paraId="0388B523" w14:textId="77777777" w:rsidR="002D3172" w:rsidRPr="007358E2" w:rsidRDefault="002D3172" w:rsidP="00304066">
            <w:pPr>
              <w:pStyle w:val="TableParagraph"/>
              <w:spacing w:before="256"/>
              <w:jc w:val="center"/>
              <w:rPr>
                <w:sz w:val="24"/>
                <w:szCs w:val="24"/>
                <w:lang w:val="sr-Cyrl-RS"/>
              </w:rPr>
            </w:pPr>
          </w:p>
          <w:p w14:paraId="59653182" w14:textId="77777777" w:rsidR="002D3172" w:rsidRPr="007358E2" w:rsidRDefault="002D3172" w:rsidP="00304066">
            <w:pPr>
              <w:pStyle w:val="TableParagraph"/>
              <w:spacing w:before="256"/>
              <w:jc w:val="center"/>
              <w:rPr>
                <w:sz w:val="24"/>
                <w:szCs w:val="24"/>
                <w:lang w:val="sr-Cyrl-RS"/>
              </w:rPr>
            </w:pPr>
          </w:p>
          <w:p w14:paraId="4B36A45C" w14:textId="1A291C39" w:rsidR="00304066" w:rsidRPr="007358E2" w:rsidRDefault="00304066" w:rsidP="002D3172">
            <w:pPr>
              <w:pStyle w:val="TableParagraph"/>
              <w:spacing w:before="256"/>
              <w:jc w:val="center"/>
              <w:rPr>
                <w:sz w:val="24"/>
                <w:szCs w:val="24"/>
                <w:lang w:val="sr-Cyrl-RS"/>
              </w:rPr>
            </w:pPr>
            <w:r w:rsidRPr="007358E2">
              <w:rPr>
                <w:sz w:val="24"/>
                <w:szCs w:val="24"/>
                <w:lang w:val="sr-Cyrl-RS"/>
              </w:rPr>
              <w:lastRenderedPageBreak/>
              <w:t>6.</w:t>
            </w:r>
          </w:p>
        </w:tc>
        <w:tc>
          <w:tcPr>
            <w:tcW w:w="1985" w:type="dxa"/>
          </w:tcPr>
          <w:p w14:paraId="42FE4D37" w14:textId="77777777" w:rsidR="00304066" w:rsidRPr="007358E2" w:rsidRDefault="00304066" w:rsidP="00304066">
            <w:pPr>
              <w:pStyle w:val="TableParagraph"/>
              <w:spacing w:before="253"/>
              <w:rPr>
                <w:sz w:val="24"/>
                <w:szCs w:val="24"/>
                <w:lang w:val="sr-Cyrl-RS"/>
              </w:rPr>
            </w:pPr>
          </w:p>
          <w:p w14:paraId="16360A02" w14:textId="77777777" w:rsidR="002D3172" w:rsidRPr="007358E2" w:rsidRDefault="002D3172" w:rsidP="00304066">
            <w:pPr>
              <w:pStyle w:val="TableParagraph"/>
              <w:spacing w:before="253"/>
              <w:jc w:val="center"/>
              <w:rPr>
                <w:sz w:val="24"/>
                <w:szCs w:val="24"/>
                <w:lang w:val="sr-Cyrl-RS"/>
              </w:rPr>
            </w:pPr>
          </w:p>
          <w:p w14:paraId="2BDF110F" w14:textId="77777777" w:rsidR="002D3172" w:rsidRPr="007358E2" w:rsidRDefault="002D3172" w:rsidP="00304066">
            <w:pPr>
              <w:pStyle w:val="TableParagraph"/>
              <w:spacing w:before="253"/>
              <w:jc w:val="center"/>
              <w:rPr>
                <w:sz w:val="24"/>
                <w:szCs w:val="24"/>
                <w:lang w:val="sr-Cyrl-RS"/>
              </w:rPr>
            </w:pPr>
          </w:p>
          <w:p w14:paraId="7D09E16A" w14:textId="77777777" w:rsidR="002D3172" w:rsidRPr="007358E2" w:rsidRDefault="002D3172" w:rsidP="00304066">
            <w:pPr>
              <w:pStyle w:val="TableParagraph"/>
              <w:spacing w:before="253"/>
              <w:jc w:val="center"/>
              <w:rPr>
                <w:sz w:val="24"/>
                <w:szCs w:val="24"/>
                <w:lang w:val="sr-Cyrl-RS"/>
              </w:rPr>
            </w:pPr>
          </w:p>
          <w:p w14:paraId="0A4C3312" w14:textId="279E3FFF" w:rsidR="00304066" w:rsidRPr="007358E2" w:rsidRDefault="00304066" w:rsidP="00304066">
            <w:pPr>
              <w:pStyle w:val="TableParagraph"/>
              <w:spacing w:before="253"/>
              <w:jc w:val="center"/>
              <w:rPr>
                <w:sz w:val="24"/>
                <w:szCs w:val="24"/>
              </w:rPr>
            </w:pPr>
            <w:proofErr w:type="spellStart"/>
            <w:r w:rsidRPr="007358E2">
              <w:rPr>
                <w:sz w:val="24"/>
                <w:szCs w:val="24"/>
              </w:rPr>
              <w:lastRenderedPageBreak/>
              <w:t>Телеком</w:t>
            </w:r>
            <w:proofErr w:type="spellEnd"/>
            <w:r w:rsidRPr="007358E2">
              <w:rPr>
                <w:sz w:val="24"/>
                <w:szCs w:val="24"/>
              </w:rPr>
              <w:t xml:space="preserve">                       </w:t>
            </w:r>
            <w:proofErr w:type="spellStart"/>
            <w:r w:rsidRPr="007358E2">
              <w:rPr>
                <w:sz w:val="24"/>
                <w:szCs w:val="24"/>
              </w:rPr>
              <w:t>Србија</w:t>
            </w:r>
            <w:proofErr w:type="spellEnd"/>
            <w:r w:rsidRPr="007358E2">
              <w:rPr>
                <w:sz w:val="24"/>
                <w:szCs w:val="24"/>
              </w:rPr>
              <w:t xml:space="preserve"> </w:t>
            </w:r>
            <w:proofErr w:type="spellStart"/>
            <w:r w:rsidRPr="007358E2">
              <w:rPr>
                <w:sz w:val="24"/>
                <w:szCs w:val="24"/>
              </w:rPr>
              <w:t>а.д</w:t>
            </w:r>
            <w:proofErr w:type="spellEnd"/>
            <w:r w:rsidRPr="007358E2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84FDE41" w14:textId="772A0E74" w:rsidR="00304066" w:rsidRPr="007358E2" w:rsidRDefault="00304066" w:rsidP="007358E2">
            <w:pPr>
              <w:pStyle w:val="TableParagraph"/>
              <w:ind w:left="3" w:right="56"/>
              <w:jc w:val="both"/>
              <w:rPr>
                <w:sz w:val="24"/>
                <w:szCs w:val="24"/>
                <w:lang w:val="sr-Cyrl-RS"/>
              </w:rPr>
            </w:pPr>
            <w:r w:rsidRPr="007358E2">
              <w:rPr>
                <w:sz w:val="24"/>
                <w:szCs w:val="24"/>
                <w:lang w:val="sr-Cyrl-RS"/>
              </w:rPr>
              <w:lastRenderedPageBreak/>
              <w:t>Предлажемо да се у члану 3. Предлога уредбе, где су одређени максимални износи за различите категорије намене земљишта избришу категорије земљишта где оператори плаћају накнаду по Закону о накнадама за коришћење јавних добара.</w:t>
            </w:r>
          </w:p>
        </w:tc>
        <w:tc>
          <w:tcPr>
            <w:tcW w:w="3118" w:type="dxa"/>
          </w:tcPr>
          <w:p w14:paraId="1B0E3D9B" w14:textId="51E975EF" w:rsidR="00304066" w:rsidRPr="007358E2" w:rsidRDefault="00304066" w:rsidP="007358E2">
            <w:pPr>
              <w:pStyle w:val="TableParagraph"/>
              <w:spacing w:before="1"/>
              <w:jc w:val="both"/>
              <w:rPr>
                <w:sz w:val="24"/>
                <w:szCs w:val="24"/>
                <w:lang w:val="sr-Cyrl-RS"/>
              </w:rPr>
            </w:pPr>
            <w:r w:rsidRPr="007358E2">
              <w:rPr>
                <w:sz w:val="24"/>
                <w:szCs w:val="24"/>
                <w:lang w:val="sr-Cyrl-RS"/>
              </w:rPr>
              <w:t xml:space="preserve">Овде пре свега мислимо на плаћање службености Железничкој инфраструктури, али и на накнаде за постављање инсталација на јавном путу по Закону о накнадама. Такође, неке општине у зависности од тога да ли су оне управљачи </w:t>
            </w:r>
            <w:r w:rsidRPr="007358E2">
              <w:rPr>
                <w:sz w:val="24"/>
                <w:szCs w:val="24"/>
                <w:lang w:val="sr-Cyrl-RS"/>
              </w:rPr>
              <w:lastRenderedPageBreak/>
              <w:t>или су пренеле управљање јавном предузећу, као и ЈП „Путеви Србије“ као управљачи републичких путева испостављају решења/уговоре за установљавање службености у путном појасу, са износима који се једнократно плаћају по Закону о накнадама за постављање инсталација у јавном путу. Овако дефинисано, где у категорију Ђ спадају друмска и железничка инфраструктура,  остаје нејасно да ли ће оператори добијати обрачун по два основа – по Закону и овој Уредби.</w:t>
            </w: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14:paraId="4D28241C" w14:textId="2610CB34" w:rsidR="00304066" w:rsidRPr="007358E2" w:rsidRDefault="00304066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Не прихвата се. У члану 5. став 1. предлога Уредбе прецизирано је да се обавеза плаћања накнаде за право службености не примењује уколико је на непокретностима установљено неко друго право у смислу Закона о накнадама за коришћење јавних добара, на основу којег обвезници накнаде плаћају накнаду за коришћење тих непокретности, тако да се неће плаћати по више основа.</w:t>
            </w:r>
          </w:p>
          <w:p w14:paraId="17FE1560" w14:textId="77777777" w:rsidR="00304066" w:rsidRPr="007358E2" w:rsidRDefault="00304066" w:rsidP="007358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C5E1C8F" w14:textId="5E806CF7" w:rsidR="00304066" w:rsidRPr="007358E2" w:rsidRDefault="00304066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4066" w:rsidRPr="007358E2" w14:paraId="2B1B5BF7" w14:textId="77777777" w:rsidTr="004C7C2F">
        <w:trPr>
          <w:trHeight w:val="1304"/>
        </w:trPr>
        <w:tc>
          <w:tcPr>
            <w:tcW w:w="678" w:type="dxa"/>
          </w:tcPr>
          <w:p w14:paraId="6D22AC0F" w14:textId="77777777" w:rsidR="002D3172" w:rsidRPr="007358E2" w:rsidRDefault="002D3172" w:rsidP="00304066">
            <w:pPr>
              <w:pStyle w:val="TableParagraph"/>
              <w:spacing w:before="256"/>
              <w:jc w:val="center"/>
              <w:rPr>
                <w:sz w:val="24"/>
                <w:szCs w:val="24"/>
                <w:lang w:val="sr-Cyrl-RS"/>
              </w:rPr>
            </w:pPr>
          </w:p>
          <w:p w14:paraId="4DB524A4" w14:textId="77777777" w:rsidR="002D3172" w:rsidRPr="007358E2" w:rsidRDefault="002D3172" w:rsidP="00304066">
            <w:pPr>
              <w:pStyle w:val="TableParagraph"/>
              <w:spacing w:before="256"/>
              <w:jc w:val="center"/>
              <w:rPr>
                <w:sz w:val="24"/>
                <w:szCs w:val="24"/>
                <w:lang w:val="sr-Cyrl-RS"/>
              </w:rPr>
            </w:pPr>
          </w:p>
          <w:p w14:paraId="2342F9EE" w14:textId="77777777" w:rsidR="002D3172" w:rsidRPr="007358E2" w:rsidRDefault="002D3172" w:rsidP="00304066">
            <w:pPr>
              <w:pStyle w:val="TableParagraph"/>
              <w:spacing w:before="256"/>
              <w:jc w:val="center"/>
              <w:rPr>
                <w:sz w:val="24"/>
                <w:szCs w:val="24"/>
                <w:lang w:val="sr-Cyrl-RS"/>
              </w:rPr>
            </w:pPr>
          </w:p>
          <w:p w14:paraId="2CAE200A" w14:textId="394B9294" w:rsidR="00304066" w:rsidRPr="007358E2" w:rsidRDefault="00304066" w:rsidP="00304066">
            <w:pPr>
              <w:pStyle w:val="TableParagraph"/>
              <w:spacing w:before="256"/>
              <w:jc w:val="center"/>
              <w:rPr>
                <w:sz w:val="24"/>
                <w:szCs w:val="24"/>
                <w:lang w:val="sr-Cyrl-RS"/>
              </w:rPr>
            </w:pPr>
            <w:r w:rsidRPr="007358E2"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5" w:type="dxa"/>
          </w:tcPr>
          <w:p w14:paraId="33DA980B" w14:textId="77777777" w:rsidR="002D3172" w:rsidRPr="007358E2" w:rsidRDefault="002D3172" w:rsidP="00304066">
            <w:pPr>
              <w:pStyle w:val="TableParagraph"/>
              <w:spacing w:before="253"/>
              <w:jc w:val="center"/>
              <w:rPr>
                <w:spacing w:val="-2"/>
                <w:sz w:val="24"/>
                <w:szCs w:val="24"/>
                <w:lang w:val="sr-Cyrl-RS"/>
              </w:rPr>
            </w:pPr>
          </w:p>
          <w:p w14:paraId="138C87CD" w14:textId="77777777" w:rsidR="002D3172" w:rsidRPr="007358E2" w:rsidRDefault="002D3172" w:rsidP="00304066">
            <w:pPr>
              <w:pStyle w:val="TableParagraph"/>
              <w:spacing w:before="253"/>
              <w:jc w:val="center"/>
              <w:rPr>
                <w:spacing w:val="-2"/>
                <w:sz w:val="24"/>
                <w:szCs w:val="24"/>
                <w:lang w:val="sr-Cyrl-RS"/>
              </w:rPr>
            </w:pPr>
          </w:p>
          <w:p w14:paraId="3FF0C1E5" w14:textId="77777777" w:rsidR="002D3172" w:rsidRPr="007358E2" w:rsidRDefault="002D3172" w:rsidP="00304066">
            <w:pPr>
              <w:pStyle w:val="TableParagraph"/>
              <w:spacing w:before="253"/>
              <w:jc w:val="center"/>
              <w:rPr>
                <w:spacing w:val="-2"/>
                <w:sz w:val="24"/>
                <w:szCs w:val="24"/>
                <w:lang w:val="sr-Cyrl-RS"/>
              </w:rPr>
            </w:pPr>
          </w:p>
          <w:p w14:paraId="2F0FF37B" w14:textId="114284E3" w:rsidR="00304066" w:rsidRPr="007358E2" w:rsidRDefault="00304066" w:rsidP="00304066">
            <w:pPr>
              <w:pStyle w:val="TableParagraph"/>
              <w:spacing w:before="253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7358E2">
              <w:rPr>
                <w:spacing w:val="-2"/>
                <w:sz w:val="24"/>
                <w:szCs w:val="24"/>
              </w:rPr>
              <w:t>Телеком</w:t>
            </w:r>
            <w:proofErr w:type="spellEnd"/>
            <w:r w:rsidRPr="007358E2">
              <w:rPr>
                <w:spacing w:val="-2"/>
                <w:sz w:val="24"/>
                <w:szCs w:val="24"/>
              </w:rPr>
              <w:t xml:space="preserve">                       </w:t>
            </w:r>
            <w:proofErr w:type="spellStart"/>
            <w:r w:rsidRPr="007358E2">
              <w:rPr>
                <w:spacing w:val="-2"/>
                <w:sz w:val="24"/>
                <w:szCs w:val="24"/>
              </w:rPr>
              <w:t>Србија</w:t>
            </w:r>
            <w:proofErr w:type="spellEnd"/>
            <w:r w:rsidRPr="007358E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58E2">
              <w:rPr>
                <w:spacing w:val="-2"/>
                <w:sz w:val="24"/>
                <w:szCs w:val="24"/>
              </w:rPr>
              <w:t>а.д</w:t>
            </w:r>
            <w:proofErr w:type="spellEnd"/>
            <w:r w:rsidRPr="007358E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1FC72FA" w14:textId="02A42175" w:rsidR="00304066" w:rsidRPr="007358E2" w:rsidRDefault="00304066" w:rsidP="007358E2">
            <w:pPr>
              <w:pStyle w:val="TableParagraph"/>
              <w:ind w:right="56"/>
              <w:jc w:val="both"/>
              <w:rPr>
                <w:bCs/>
                <w:iCs/>
                <w:sz w:val="24"/>
                <w:szCs w:val="24"/>
                <w:lang w:val="sr-Cyrl-RS"/>
              </w:rPr>
            </w:pPr>
            <w:r w:rsidRPr="007358E2">
              <w:rPr>
                <w:bCs/>
                <w:iCs/>
                <w:sz w:val="24"/>
                <w:szCs w:val="24"/>
                <w:lang w:val="sr-Cyrl-RS"/>
              </w:rPr>
              <w:t xml:space="preserve">Предлажемо да се у члану 3. став 5. где је прописана максимална висина накнаде за постављање стуба од 2.500 динара смањи на 1.500 динара, јер је предложена цена висока без обзира на </w:t>
            </w:r>
            <w:proofErr w:type="spellStart"/>
            <w:r w:rsidRPr="007358E2">
              <w:rPr>
                <w:bCs/>
                <w:iCs/>
                <w:sz w:val="24"/>
                <w:szCs w:val="24"/>
                <w:lang w:val="sr-Cyrl-RS"/>
              </w:rPr>
              <w:t>предвиђених</w:t>
            </w:r>
            <w:proofErr w:type="spellEnd"/>
            <w:r w:rsidRPr="007358E2">
              <w:rPr>
                <w:bCs/>
                <w:iCs/>
                <w:sz w:val="24"/>
                <w:szCs w:val="24"/>
                <w:lang w:val="sr-Cyrl-RS"/>
              </w:rPr>
              <w:t xml:space="preserve"> 30% у следећем ставу.</w:t>
            </w:r>
          </w:p>
        </w:tc>
        <w:tc>
          <w:tcPr>
            <w:tcW w:w="3118" w:type="dxa"/>
          </w:tcPr>
          <w:p w14:paraId="742D5A70" w14:textId="77777777" w:rsidR="00304066" w:rsidRPr="007358E2" w:rsidRDefault="00304066" w:rsidP="007358E2">
            <w:pPr>
              <w:pStyle w:val="TableParagraph"/>
              <w:spacing w:before="1"/>
              <w:jc w:val="both"/>
              <w:rPr>
                <w:sz w:val="24"/>
                <w:szCs w:val="24"/>
                <w:lang w:val="sr-Cyrl-RS"/>
              </w:rPr>
            </w:pPr>
            <w:r w:rsidRPr="007358E2">
              <w:rPr>
                <w:sz w:val="24"/>
                <w:szCs w:val="24"/>
                <w:lang w:val="sr-Cyrl-RS"/>
              </w:rPr>
              <w:t xml:space="preserve">Наведена измена се предлаже имајући у виду цене које за закуп стубова обрачунавају друга јавна предузећа и општине и које се крећу од 10 динара месечно (120 динара годишње). Овако високо одређена цена Предлогом уредбе ће аутоматски утицати и на цене по којим оператори изнајмљују стубове. </w:t>
            </w:r>
          </w:p>
          <w:p w14:paraId="1CD3AAA1" w14:textId="0AF37234" w:rsidR="00304066" w:rsidRPr="007358E2" w:rsidRDefault="00304066" w:rsidP="007358E2">
            <w:pPr>
              <w:pStyle w:val="TableParagraph"/>
              <w:spacing w:before="1"/>
              <w:jc w:val="both"/>
              <w:rPr>
                <w:sz w:val="24"/>
                <w:szCs w:val="24"/>
                <w:lang w:val="sr-Cyrl-RS"/>
              </w:rPr>
            </w:pPr>
            <w:r w:rsidRPr="007358E2">
              <w:rPr>
                <w:sz w:val="24"/>
                <w:szCs w:val="24"/>
                <w:lang w:val="sr-Cyrl-RS"/>
              </w:rPr>
              <w:t>Предлажемо да се сви наведени износи умање,  да би се избегла ситуација да се, по Закону о накнадама, плати много мања сума за постављање управљачима/власницима/кор</w:t>
            </w:r>
            <w:r w:rsidRPr="007358E2">
              <w:rPr>
                <w:sz w:val="24"/>
                <w:szCs w:val="24"/>
                <w:lang w:val="sr-Cyrl-RS"/>
              </w:rPr>
              <w:lastRenderedPageBreak/>
              <w:t>исницима, а онда вишеструко већа сума, уколико постављање захтева прелази преко неке од категорија земљишта наведених у члану 3. Ради поређења, по Закону о накнадама, је накнада за постављање инсталација на јавном путу 56 дин/м' једнократно, накнада за службеност за појас Железнице 1,65 дин/м' месечно за вођење паралелно са пругом, а накнада за коришћење заштићеног подручја 114 односно 57 дин/м' годишње за надземни односно подземни вод.</w:t>
            </w: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14:paraId="7F4592BD" w14:textId="0CF18D08" w:rsidR="00304066" w:rsidRPr="007358E2" w:rsidRDefault="00304066" w:rsidP="0073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Не прихвата се.</w:t>
            </w:r>
            <w:r w:rsidRPr="00735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Висина накнаде је одређена на основу</w:t>
            </w:r>
            <w:r w:rsidRPr="00735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преко 30 постојећих Одлука </w:t>
            </w:r>
            <w:r w:rsidR="0036567D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локалних самоуправа за заснивање права службености за различите операторе. У неким Одлукама</w:t>
            </w:r>
            <w:r w:rsidR="00A53D67"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јединица локалне самоуправе</w:t>
            </w:r>
            <w:r w:rsidRPr="007358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накнада за постављање стуба је износила и 36.600 динара.</w:t>
            </w:r>
          </w:p>
        </w:tc>
      </w:tr>
    </w:tbl>
    <w:p w14:paraId="54D9EC02" w14:textId="77777777" w:rsidR="00465E5B" w:rsidRPr="007358E2" w:rsidRDefault="00465E5B" w:rsidP="00921416">
      <w:pPr>
        <w:spacing w:before="5"/>
        <w:rPr>
          <w:sz w:val="24"/>
          <w:szCs w:val="24"/>
          <w:lang w:val="sr-Latn-RS"/>
        </w:rPr>
      </w:pPr>
    </w:p>
    <w:sectPr w:rsidR="00465E5B" w:rsidRPr="007358E2" w:rsidSect="007358E2">
      <w:pgSz w:w="16860" w:h="11920" w:orient="landscape"/>
      <w:pgMar w:top="799" w:right="851" w:bottom="79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9B"/>
    <w:rsid w:val="00017D88"/>
    <w:rsid w:val="00056D04"/>
    <w:rsid w:val="00080606"/>
    <w:rsid w:val="000809F0"/>
    <w:rsid w:val="00097603"/>
    <w:rsid w:val="000C1AB3"/>
    <w:rsid w:val="000C2567"/>
    <w:rsid w:val="000D2EF3"/>
    <w:rsid w:val="000D65F1"/>
    <w:rsid w:val="000D7C9B"/>
    <w:rsid w:val="000E7005"/>
    <w:rsid w:val="000E7742"/>
    <w:rsid w:val="000F793C"/>
    <w:rsid w:val="0012019E"/>
    <w:rsid w:val="001209AB"/>
    <w:rsid w:val="00145456"/>
    <w:rsid w:val="00156C9E"/>
    <w:rsid w:val="00183F5C"/>
    <w:rsid w:val="00185F9F"/>
    <w:rsid w:val="00186A45"/>
    <w:rsid w:val="001A2C3E"/>
    <w:rsid w:val="001C2DA7"/>
    <w:rsid w:val="001E718E"/>
    <w:rsid w:val="00202A9F"/>
    <w:rsid w:val="00204F5A"/>
    <w:rsid w:val="00212576"/>
    <w:rsid w:val="00213A1F"/>
    <w:rsid w:val="00214BE3"/>
    <w:rsid w:val="00220029"/>
    <w:rsid w:val="00225EAF"/>
    <w:rsid w:val="002267DD"/>
    <w:rsid w:val="002312BD"/>
    <w:rsid w:val="00242C0E"/>
    <w:rsid w:val="0024402B"/>
    <w:rsid w:val="002533E5"/>
    <w:rsid w:val="00270323"/>
    <w:rsid w:val="002710D6"/>
    <w:rsid w:val="002A34D5"/>
    <w:rsid w:val="002A4D8E"/>
    <w:rsid w:val="002A69AC"/>
    <w:rsid w:val="002D2E2A"/>
    <w:rsid w:val="002D3172"/>
    <w:rsid w:val="002D57D3"/>
    <w:rsid w:val="002E12E3"/>
    <w:rsid w:val="002E1BDE"/>
    <w:rsid w:val="002F19F5"/>
    <w:rsid w:val="00303C7D"/>
    <w:rsid w:val="00304066"/>
    <w:rsid w:val="00333BEE"/>
    <w:rsid w:val="00347F0B"/>
    <w:rsid w:val="00352689"/>
    <w:rsid w:val="0036567D"/>
    <w:rsid w:val="003745C4"/>
    <w:rsid w:val="00385149"/>
    <w:rsid w:val="00386D06"/>
    <w:rsid w:val="00394080"/>
    <w:rsid w:val="003B313F"/>
    <w:rsid w:val="003C53B8"/>
    <w:rsid w:val="003D1BA2"/>
    <w:rsid w:val="003E3503"/>
    <w:rsid w:val="003F7A81"/>
    <w:rsid w:val="00404FBE"/>
    <w:rsid w:val="00411E93"/>
    <w:rsid w:val="00424BF9"/>
    <w:rsid w:val="00436E71"/>
    <w:rsid w:val="00446C49"/>
    <w:rsid w:val="0046117E"/>
    <w:rsid w:val="00465E5B"/>
    <w:rsid w:val="00465FF1"/>
    <w:rsid w:val="00484FCF"/>
    <w:rsid w:val="004C1480"/>
    <w:rsid w:val="004C7C2F"/>
    <w:rsid w:val="005028E6"/>
    <w:rsid w:val="00504C78"/>
    <w:rsid w:val="00511FE5"/>
    <w:rsid w:val="005121C7"/>
    <w:rsid w:val="0051384D"/>
    <w:rsid w:val="00514E78"/>
    <w:rsid w:val="0053058E"/>
    <w:rsid w:val="00535124"/>
    <w:rsid w:val="00536A46"/>
    <w:rsid w:val="00544015"/>
    <w:rsid w:val="00591DC8"/>
    <w:rsid w:val="005A7C4E"/>
    <w:rsid w:val="005B15A6"/>
    <w:rsid w:val="005B7CDD"/>
    <w:rsid w:val="005C4D00"/>
    <w:rsid w:val="005D4B2B"/>
    <w:rsid w:val="005F790D"/>
    <w:rsid w:val="00614232"/>
    <w:rsid w:val="006216D6"/>
    <w:rsid w:val="00625B92"/>
    <w:rsid w:val="00647BB2"/>
    <w:rsid w:val="00655882"/>
    <w:rsid w:val="00663DA6"/>
    <w:rsid w:val="00676B74"/>
    <w:rsid w:val="00683BD7"/>
    <w:rsid w:val="00686180"/>
    <w:rsid w:val="00692609"/>
    <w:rsid w:val="006940FE"/>
    <w:rsid w:val="00696E3F"/>
    <w:rsid w:val="006D15FA"/>
    <w:rsid w:val="006D63CE"/>
    <w:rsid w:val="006D6687"/>
    <w:rsid w:val="006F3E9D"/>
    <w:rsid w:val="006F69F5"/>
    <w:rsid w:val="00703B2B"/>
    <w:rsid w:val="00724AFE"/>
    <w:rsid w:val="00724CE8"/>
    <w:rsid w:val="007358E2"/>
    <w:rsid w:val="00756E1F"/>
    <w:rsid w:val="00777343"/>
    <w:rsid w:val="007820FF"/>
    <w:rsid w:val="007A5F14"/>
    <w:rsid w:val="007C5B7D"/>
    <w:rsid w:val="007E6555"/>
    <w:rsid w:val="00802D2C"/>
    <w:rsid w:val="0081280B"/>
    <w:rsid w:val="0082242E"/>
    <w:rsid w:val="008375EE"/>
    <w:rsid w:val="0084720C"/>
    <w:rsid w:val="00847535"/>
    <w:rsid w:val="008671B9"/>
    <w:rsid w:val="00881429"/>
    <w:rsid w:val="00891E56"/>
    <w:rsid w:val="00897CE0"/>
    <w:rsid w:val="00897F8F"/>
    <w:rsid w:val="008A1290"/>
    <w:rsid w:val="008A6BFC"/>
    <w:rsid w:val="008A7288"/>
    <w:rsid w:val="0090209D"/>
    <w:rsid w:val="00921416"/>
    <w:rsid w:val="0092669F"/>
    <w:rsid w:val="00953F77"/>
    <w:rsid w:val="00977260"/>
    <w:rsid w:val="009C263B"/>
    <w:rsid w:val="009E17AC"/>
    <w:rsid w:val="009F4F55"/>
    <w:rsid w:val="00A035A3"/>
    <w:rsid w:val="00A222BD"/>
    <w:rsid w:val="00A41013"/>
    <w:rsid w:val="00A52904"/>
    <w:rsid w:val="00A53D67"/>
    <w:rsid w:val="00A53D7B"/>
    <w:rsid w:val="00A6623C"/>
    <w:rsid w:val="00A67F47"/>
    <w:rsid w:val="00A86364"/>
    <w:rsid w:val="00A87EB9"/>
    <w:rsid w:val="00AB4F85"/>
    <w:rsid w:val="00AE39A6"/>
    <w:rsid w:val="00AF2D4C"/>
    <w:rsid w:val="00B0085D"/>
    <w:rsid w:val="00B107C5"/>
    <w:rsid w:val="00B321CA"/>
    <w:rsid w:val="00B33991"/>
    <w:rsid w:val="00B37062"/>
    <w:rsid w:val="00B437CE"/>
    <w:rsid w:val="00B71E5D"/>
    <w:rsid w:val="00BB058B"/>
    <w:rsid w:val="00BB0DC0"/>
    <w:rsid w:val="00BC56EC"/>
    <w:rsid w:val="00BE376B"/>
    <w:rsid w:val="00BF4D38"/>
    <w:rsid w:val="00C05D31"/>
    <w:rsid w:val="00C578AB"/>
    <w:rsid w:val="00C617D5"/>
    <w:rsid w:val="00C811CB"/>
    <w:rsid w:val="00C8414D"/>
    <w:rsid w:val="00C933A3"/>
    <w:rsid w:val="00CA4791"/>
    <w:rsid w:val="00CC0541"/>
    <w:rsid w:val="00CC0CCF"/>
    <w:rsid w:val="00CD3935"/>
    <w:rsid w:val="00CD75AF"/>
    <w:rsid w:val="00CE5899"/>
    <w:rsid w:val="00CE5E02"/>
    <w:rsid w:val="00CF3523"/>
    <w:rsid w:val="00D03359"/>
    <w:rsid w:val="00D13689"/>
    <w:rsid w:val="00D44230"/>
    <w:rsid w:val="00D518B6"/>
    <w:rsid w:val="00D64DDF"/>
    <w:rsid w:val="00D6761E"/>
    <w:rsid w:val="00D80B91"/>
    <w:rsid w:val="00D9051B"/>
    <w:rsid w:val="00DA375B"/>
    <w:rsid w:val="00DB5BA9"/>
    <w:rsid w:val="00E00835"/>
    <w:rsid w:val="00E375C2"/>
    <w:rsid w:val="00E409D4"/>
    <w:rsid w:val="00E4688C"/>
    <w:rsid w:val="00E5021B"/>
    <w:rsid w:val="00E50E52"/>
    <w:rsid w:val="00E51681"/>
    <w:rsid w:val="00E53076"/>
    <w:rsid w:val="00E86B6E"/>
    <w:rsid w:val="00EB3A2F"/>
    <w:rsid w:val="00EC6243"/>
    <w:rsid w:val="00EC6B0D"/>
    <w:rsid w:val="00ED7C96"/>
    <w:rsid w:val="00EF2291"/>
    <w:rsid w:val="00F00965"/>
    <w:rsid w:val="00F4553A"/>
    <w:rsid w:val="00F522A5"/>
    <w:rsid w:val="00F956AF"/>
    <w:rsid w:val="00FA1100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EAB4"/>
  <w15:docId w15:val="{EA50C5D7-DA16-4429-BB22-D6E2CDD5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6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21CA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029A-E197-48CA-8239-BC79DE89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creator>Korisnik</dc:creator>
  <cp:lastModifiedBy>Tatjana Andan</cp:lastModifiedBy>
  <cp:revision>34</cp:revision>
  <dcterms:created xsi:type="dcterms:W3CDTF">2025-01-14T12:57:00Z</dcterms:created>
  <dcterms:modified xsi:type="dcterms:W3CDTF">2025-01-16T08:13:00Z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for Microsoft 365</vt:lpwstr>
  </property>
</Properties>
</file>